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28A54" w14:textId="77777777" w:rsidR="0021154C" w:rsidRDefault="00A17E2E" w:rsidP="00A17E2E">
      <w:pPr>
        <w:pStyle w:val="CRCoverPage"/>
        <w:tabs>
          <w:tab w:val="right" w:pos="9639"/>
        </w:tabs>
        <w:rPr>
          <w:b/>
          <w:noProof/>
          <w:sz w:val="24"/>
          <w:szCs w:val="24"/>
        </w:rPr>
      </w:pPr>
      <w:r w:rsidRPr="00CB289F">
        <w:rPr>
          <w:b/>
          <w:noProof/>
          <w:sz w:val="24"/>
          <w:szCs w:val="24"/>
        </w:rPr>
        <w:t>3GPP TSG RAN WG1 #102-e</w:t>
      </w:r>
      <w:r w:rsidRPr="00BD6E52">
        <w:rPr>
          <w:b/>
          <w:noProof/>
          <w:sz w:val="24"/>
          <w:szCs w:val="24"/>
        </w:rPr>
        <w:tab/>
      </w:r>
      <w:r w:rsidR="0021154C" w:rsidRPr="0021154C">
        <w:rPr>
          <w:b/>
          <w:noProof/>
          <w:sz w:val="24"/>
          <w:szCs w:val="24"/>
        </w:rPr>
        <w:t>R1-2006511</w:t>
      </w:r>
    </w:p>
    <w:p w14:paraId="403B28DA" w14:textId="77777777" w:rsidR="00A17E2E" w:rsidRPr="00CB289F" w:rsidRDefault="00A17E2E" w:rsidP="00A17E2E">
      <w:pPr>
        <w:tabs>
          <w:tab w:val="center" w:pos="4536"/>
          <w:tab w:val="right" w:pos="9072"/>
        </w:tabs>
        <w:rPr>
          <w:rFonts w:ascii="Arial" w:eastAsiaTheme="minorEastAsia" w:hAnsi="Arial"/>
          <w:b/>
          <w:noProof/>
          <w:lang w:val="en-GB" w:eastAsia="en-US"/>
        </w:rPr>
      </w:pPr>
      <w:bookmarkStart w:id="0" w:name="_GoBack"/>
      <w:bookmarkEnd w:id="0"/>
      <w:r w:rsidRPr="00CB289F">
        <w:rPr>
          <w:rFonts w:ascii="Arial" w:eastAsiaTheme="minorEastAsia" w:hAnsi="Arial"/>
          <w:b/>
          <w:noProof/>
          <w:lang w:val="en-GB" w:eastAsia="en-US"/>
        </w:rPr>
        <w:t>e-Meeting, August 17th – 28th,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0A9DD33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w:t>
      </w:r>
      <w:r w:rsidR="00C267C4">
        <w:rPr>
          <w:sz w:val="22"/>
          <w:szCs w:val="22"/>
        </w:rPr>
        <w:t>3</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2235E034" w:rsidR="00D63847" w:rsidRDefault="00B90144" w:rsidP="00B90144">
      <w:pPr>
        <w:pStyle w:val="3GPPHeader"/>
        <w:rPr>
          <w:sz w:val="22"/>
          <w:szCs w:val="22"/>
        </w:rPr>
      </w:pPr>
      <w:r w:rsidRPr="00315C6E">
        <w:rPr>
          <w:sz w:val="22"/>
          <w:szCs w:val="22"/>
        </w:rPr>
        <w:t>Title:</w:t>
      </w:r>
      <w:r w:rsidRPr="00315C6E">
        <w:rPr>
          <w:sz w:val="22"/>
          <w:szCs w:val="22"/>
        </w:rPr>
        <w:tab/>
      </w:r>
      <w:r w:rsidR="00C267C4" w:rsidRPr="00C267C4">
        <w:rPr>
          <w:sz w:val="22"/>
          <w:szCs w:val="22"/>
        </w:rPr>
        <w:t xml:space="preserve">Support efficient activation/de-activation mechanism for SCells in NR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2A98E8BE" w14:textId="2E06DEA7" w:rsidR="00577146" w:rsidRDefault="0073575D" w:rsidP="00D67B52">
      <w:pPr>
        <w:pStyle w:val="0Maintext"/>
        <w:spacing w:after="120" w:afterAutospacing="0" w:line="240" w:lineRule="auto"/>
        <w:ind w:firstLine="0"/>
        <w:rPr>
          <w:lang w:val="en-US"/>
        </w:rPr>
      </w:pPr>
      <w:r>
        <w:rPr>
          <w:lang w:val="en-US"/>
        </w:rPr>
        <w:t xml:space="preserve">In Rel-16, WUS (Wake Up Signal), i.e., DCI Format 2_6, was designed </w:t>
      </w:r>
      <w:r w:rsidR="00CF7D97">
        <w:rPr>
          <w:lang w:val="en-US"/>
        </w:rPr>
        <w:t xml:space="preserve">to also support SCell dormancy, so that a UE can be requested to operate in dormancy mode in a subset </w:t>
      </w:r>
      <w:r w:rsidR="00B135BC">
        <w:rPr>
          <w:lang w:val="en-US"/>
        </w:rPr>
        <w:t xml:space="preserve">of pre-configured SCell groups, for </w:t>
      </w:r>
      <w:r w:rsidR="00482F0E">
        <w:rPr>
          <w:lang w:val="en-US"/>
        </w:rPr>
        <w:t>power</w:t>
      </w:r>
      <w:r w:rsidR="00B135BC">
        <w:rPr>
          <w:lang w:val="en-US"/>
        </w:rPr>
        <w:t xml:space="preserve"> saving purpose.</w:t>
      </w:r>
    </w:p>
    <w:p w14:paraId="0FB2A854" w14:textId="2EE89E66" w:rsidR="00921DCB" w:rsidRDefault="00482F0E" w:rsidP="00D67B52">
      <w:pPr>
        <w:pStyle w:val="0Maintext"/>
        <w:spacing w:after="120" w:afterAutospacing="0" w:line="240" w:lineRule="auto"/>
        <w:ind w:firstLine="0"/>
        <w:rPr>
          <w:lang w:val="en-US"/>
        </w:rPr>
      </w:pPr>
      <w:r>
        <w:rPr>
          <w:lang w:val="en-US"/>
        </w:rPr>
        <w:t xml:space="preserve">In the approved RAN2 led WI [1], </w:t>
      </w:r>
      <w:r w:rsidRPr="00EC5AF6">
        <w:t>LTE_NR_DC_enh2</w:t>
      </w:r>
      <w:r>
        <w:t xml:space="preserve">, the following objectives were agreed </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657151AF" w14:textId="7F71D1D8" w:rsidR="00276371" w:rsidRPr="005058B2" w:rsidRDefault="00276371" w:rsidP="00276371">
            <w:pPr>
              <w:rPr>
                <w:bCs/>
                <w:sz w:val="20"/>
              </w:rPr>
            </w:pPr>
            <w:r w:rsidRPr="00276371">
              <w:rPr>
                <w:bCs/>
                <w:sz w:val="20"/>
              </w:rPr>
              <w:t>The objective of this work item is to specify enhancements to MR-DC related scenarios. At least the following topics should be considered in the work:</w:t>
            </w:r>
          </w:p>
          <w:p w14:paraId="47578908" w14:textId="77777777" w:rsidR="00276371" w:rsidRPr="00276371" w:rsidRDefault="00276371" w:rsidP="00276371">
            <w:pPr>
              <w:numPr>
                <w:ilvl w:val="0"/>
                <w:numId w:val="10"/>
              </w:numPr>
              <w:overflowPunct w:val="0"/>
              <w:autoSpaceDE w:val="0"/>
              <w:autoSpaceDN w:val="0"/>
              <w:adjustRightInd w:val="0"/>
              <w:jc w:val="both"/>
              <w:textAlignment w:val="baseline"/>
              <w:rPr>
                <w:bCs/>
                <w:sz w:val="20"/>
              </w:rPr>
            </w:pPr>
            <w:r w:rsidRPr="00276371">
              <w:rPr>
                <w:bCs/>
                <w:sz w:val="20"/>
              </w:rPr>
              <w:t xml:space="preserve">Support efficient activation/de-activation mechanism for one SCG and SCells </w:t>
            </w:r>
          </w:p>
          <w:p w14:paraId="0430C550" w14:textId="5D346D58" w:rsidR="00276371" w:rsidRPr="00276371" w:rsidRDefault="00276371" w:rsidP="00276371">
            <w:pPr>
              <w:numPr>
                <w:ilvl w:val="0"/>
                <w:numId w:val="11"/>
              </w:numPr>
              <w:overflowPunct w:val="0"/>
              <w:autoSpaceDE w:val="0"/>
              <w:autoSpaceDN w:val="0"/>
              <w:adjustRightInd w:val="0"/>
              <w:jc w:val="both"/>
              <w:textAlignment w:val="baseline"/>
              <w:rPr>
                <w:bCs/>
                <w:sz w:val="20"/>
              </w:rPr>
            </w:pPr>
            <w:r w:rsidRPr="00276371">
              <w:rPr>
                <w:bCs/>
                <w:sz w:val="20"/>
              </w:rPr>
              <w:t>Support for one SCG applies to (NG)EN-DC, and NR-DC [RAN2, RAN3, RAN4]</w:t>
            </w:r>
          </w:p>
          <w:p w14:paraId="5E0E3386" w14:textId="77777777" w:rsidR="00276371" w:rsidRPr="002A09FA" w:rsidRDefault="00276371" w:rsidP="00276371">
            <w:pPr>
              <w:numPr>
                <w:ilvl w:val="0"/>
                <w:numId w:val="11"/>
              </w:numPr>
              <w:overflowPunct w:val="0"/>
              <w:autoSpaceDE w:val="0"/>
              <w:autoSpaceDN w:val="0"/>
              <w:adjustRightInd w:val="0"/>
              <w:jc w:val="both"/>
              <w:textAlignment w:val="baseline"/>
              <w:rPr>
                <w:bCs/>
                <w:sz w:val="20"/>
                <w:highlight w:val="yellow"/>
              </w:rPr>
            </w:pPr>
            <w:r w:rsidRPr="002A09FA">
              <w:rPr>
                <w:bCs/>
                <w:sz w:val="20"/>
                <w:highlight w:val="yellow"/>
              </w:rPr>
              <w:t xml:space="preserve">Support for SCells applies to NR CA, </w:t>
            </w:r>
            <w:r w:rsidRPr="002A09FA">
              <w:rPr>
                <w:sz w:val="20"/>
                <w:highlight w:val="yellow"/>
              </w:rPr>
              <w:t>based on RAN1 le</w:t>
            </w:r>
            <w:r w:rsidRPr="002A09FA">
              <w:rPr>
                <w:rFonts w:hint="eastAsia"/>
                <w:sz w:val="20"/>
                <w:highlight w:val="yellow"/>
              </w:rPr>
              <w:t>a</w:t>
            </w:r>
            <w:r w:rsidRPr="002A09FA">
              <w:rPr>
                <w:sz w:val="20"/>
                <w:highlight w:val="yellow"/>
              </w:rPr>
              <w:t>ding mechanisms</w:t>
            </w:r>
            <w:r w:rsidRPr="002A09FA">
              <w:rPr>
                <w:bCs/>
                <w:sz w:val="20"/>
                <w:highlight w:val="yellow"/>
              </w:rPr>
              <w:t xml:space="preserve"> [RAN1, RAN2</w:t>
            </w:r>
            <w:r w:rsidRPr="002A09FA">
              <w:rPr>
                <w:rFonts w:hint="eastAsia"/>
                <w:bCs/>
                <w:sz w:val="20"/>
                <w:highlight w:val="yellow"/>
              </w:rPr>
              <w:t>,</w:t>
            </w:r>
            <w:r w:rsidRPr="002A09FA">
              <w:rPr>
                <w:bCs/>
                <w:sz w:val="20"/>
                <w:highlight w:val="yellow"/>
              </w:rPr>
              <w:t xml:space="preserve"> RAN4]</w:t>
            </w:r>
          </w:p>
          <w:p w14:paraId="63A7BD60" w14:textId="058C9D23" w:rsidR="00276371" w:rsidRPr="005058B2" w:rsidRDefault="00276371" w:rsidP="00003C13">
            <w:pPr>
              <w:numPr>
                <w:ilvl w:val="0"/>
                <w:numId w:val="11"/>
              </w:numPr>
              <w:overflowPunct w:val="0"/>
              <w:autoSpaceDE w:val="0"/>
              <w:autoSpaceDN w:val="0"/>
              <w:adjustRightInd w:val="0"/>
              <w:jc w:val="both"/>
              <w:textAlignment w:val="baseline"/>
              <w:rPr>
                <w:bCs/>
                <w:sz w:val="20"/>
              </w:rPr>
            </w:pPr>
            <w:r w:rsidRPr="00276371">
              <w:rPr>
                <w:bCs/>
                <w:sz w:val="20"/>
              </w:rPr>
              <w:t>This objective applies to FR1 and FR2</w:t>
            </w:r>
          </w:p>
          <w:p w14:paraId="3519045C" w14:textId="4C8C4F7E" w:rsidR="00276371" w:rsidRPr="00276371" w:rsidRDefault="00276371" w:rsidP="00276371">
            <w:pPr>
              <w:numPr>
                <w:ilvl w:val="0"/>
                <w:numId w:val="10"/>
              </w:numPr>
              <w:overflowPunct w:val="0"/>
              <w:autoSpaceDE w:val="0"/>
              <w:autoSpaceDN w:val="0"/>
              <w:adjustRightInd w:val="0"/>
              <w:jc w:val="both"/>
              <w:textAlignment w:val="baseline"/>
              <w:rPr>
                <w:bCs/>
                <w:sz w:val="20"/>
              </w:rPr>
            </w:pPr>
            <w:r w:rsidRPr="00276371">
              <w:rPr>
                <w:bCs/>
                <w:sz w:val="20"/>
              </w:rPr>
              <w:t>Support of conditional PSCell change</w:t>
            </w:r>
            <w:r w:rsidRPr="00276371">
              <w:rPr>
                <w:rFonts w:hint="eastAsia"/>
                <w:bCs/>
                <w:sz w:val="20"/>
              </w:rPr>
              <w:t>/addition</w:t>
            </w:r>
            <w:r w:rsidRPr="00276371">
              <w:rPr>
                <w:bCs/>
                <w:sz w:val="20"/>
              </w:rPr>
              <w:t xml:space="preserve"> [RAN2,</w:t>
            </w:r>
            <w:r w:rsidR="005058B2">
              <w:rPr>
                <w:bCs/>
                <w:sz w:val="20"/>
              </w:rPr>
              <w:t xml:space="preserve"> </w:t>
            </w:r>
            <w:r w:rsidRPr="00276371">
              <w:rPr>
                <w:bCs/>
                <w:sz w:val="20"/>
              </w:rPr>
              <w:t>RAN3, RAN4]</w:t>
            </w:r>
          </w:p>
          <w:p w14:paraId="6F17A020" w14:textId="38E8FCBB" w:rsidR="00577146" w:rsidRPr="00276371" w:rsidRDefault="00276371" w:rsidP="00276371">
            <w:pPr>
              <w:numPr>
                <w:ilvl w:val="0"/>
                <w:numId w:val="11"/>
              </w:numPr>
              <w:overflowPunct w:val="0"/>
              <w:autoSpaceDE w:val="0"/>
              <w:autoSpaceDN w:val="0"/>
              <w:adjustRightInd w:val="0"/>
              <w:jc w:val="both"/>
              <w:textAlignment w:val="baseline"/>
              <w:rPr>
                <w:bCs/>
              </w:rPr>
            </w:pPr>
            <w:r w:rsidRPr="00276371">
              <w:rPr>
                <w:rFonts w:hint="eastAsia"/>
                <w:bCs/>
                <w:sz w:val="20"/>
              </w:rPr>
              <w:t>support</w:t>
            </w:r>
            <w:r w:rsidRPr="00276371">
              <w:rPr>
                <w:bCs/>
                <w:sz w:val="20"/>
              </w:rPr>
              <w:t xml:space="preserve"> scenarios which are not addressed in Rel-16 NR mobility WI</w:t>
            </w:r>
          </w:p>
        </w:tc>
      </w:tr>
    </w:tbl>
    <w:p w14:paraId="057FA6D2" w14:textId="77777777" w:rsidR="00577146" w:rsidRDefault="00577146" w:rsidP="00D67B52">
      <w:pPr>
        <w:pStyle w:val="0Maintext"/>
        <w:spacing w:after="120" w:afterAutospacing="0" w:line="240" w:lineRule="auto"/>
        <w:ind w:firstLine="0"/>
        <w:rPr>
          <w:lang w:val="en-US"/>
        </w:rPr>
      </w:pPr>
    </w:p>
    <w:p w14:paraId="643CF33D" w14:textId="77777777" w:rsidR="006817CB"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6817CB" w:rsidRPr="006817CB">
        <w:rPr>
          <w:lang w:val="en-US"/>
        </w:rPr>
        <w:t xml:space="preserve">efficient activation/de-activation mechanism for SCells in NR </w:t>
      </w:r>
    </w:p>
    <w:p w14:paraId="456EE387" w14:textId="3B7E9CE3" w:rsidR="00666EFB" w:rsidRDefault="000D1137" w:rsidP="00DB08F6">
      <w:pPr>
        <w:pStyle w:val="Heading1"/>
      </w:pPr>
      <w:r>
        <w:t xml:space="preserve">SCell dormancy and secondary DRX group </w:t>
      </w:r>
      <w:r w:rsidR="00666EFB">
        <w:t xml:space="preserve"> </w:t>
      </w:r>
    </w:p>
    <w:p w14:paraId="44547C64" w14:textId="42D7ADE7" w:rsidR="00752900" w:rsidRPr="001C32CA" w:rsidRDefault="00E576CD" w:rsidP="00752900">
      <w:pPr>
        <w:rPr>
          <w:rFonts w:eastAsia="MS Mincho"/>
          <w:sz w:val="22"/>
          <w:szCs w:val="22"/>
          <w:lang w:eastAsia="ja-JP"/>
        </w:rPr>
      </w:pPr>
      <w:r>
        <w:rPr>
          <w:sz w:val="20"/>
          <w:szCs w:val="20"/>
        </w:rPr>
        <w:t xml:space="preserve">For NR CA, one of the most useful and special use </w:t>
      </w:r>
      <w:r w:rsidR="00752900">
        <w:rPr>
          <w:sz w:val="20"/>
          <w:szCs w:val="20"/>
        </w:rPr>
        <w:t>cases</w:t>
      </w:r>
      <w:r>
        <w:rPr>
          <w:sz w:val="20"/>
          <w:szCs w:val="20"/>
        </w:rPr>
        <w:t xml:space="preserve"> in NR is to support FR1 and FR2 CA</w:t>
      </w:r>
      <w:r w:rsidR="00752900">
        <w:rPr>
          <w:sz w:val="20"/>
          <w:szCs w:val="20"/>
        </w:rPr>
        <w:t>.</w:t>
      </w:r>
      <w:r w:rsidR="004E5C57">
        <w:rPr>
          <w:sz w:val="20"/>
          <w:szCs w:val="20"/>
        </w:rPr>
        <w:t xml:space="preserve"> T</w:t>
      </w:r>
      <w:r w:rsidR="00752900" w:rsidRPr="001C32CA">
        <w:rPr>
          <w:rFonts w:eastAsia="MS Mincho"/>
          <w:sz w:val="22"/>
          <w:szCs w:val="22"/>
          <w:lang w:eastAsia="ja-JP"/>
        </w:rPr>
        <w:t xml:space="preserve">o solve the coverage or reliability issue with FR2 communication, it is nature to use FR1 and FR2 CA in which PCell or PSCell resides in FR1 to ensure ubiquitous coverage and robust communication while SCells can be deployed on FR2 to provide data enhancement </w:t>
      </w:r>
      <w:r w:rsidR="00752900">
        <w:rPr>
          <w:rFonts w:eastAsia="MS Mincho"/>
          <w:sz w:val="22"/>
          <w:szCs w:val="22"/>
          <w:lang w:eastAsia="ja-JP"/>
        </w:rPr>
        <w:t xml:space="preserve">layers </w:t>
      </w:r>
      <w:r w:rsidR="00752900" w:rsidRPr="001C32CA">
        <w:rPr>
          <w:rFonts w:eastAsia="MS Mincho"/>
          <w:sz w:val="22"/>
          <w:szCs w:val="22"/>
          <w:lang w:eastAsia="ja-JP"/>
        </w:rPr>
        <w:t xml:space="preserve">for large amount of data or high peak rate data communication. </w:t>
      </w:r>
    </w:p>
    <w:p w14:paraId="7834F173" w14:textId="77777777" w:rsidR="00752900" w:rsidRPr="001C32CA" w:rsidRDefault="00752900" w:rsidP="00752900">
      <w:pPr>
        <w:rPr>
          <w:rFonts w:eastAsia="MS Mincho"/>
          <w:sz w:val="22"/>
          <w:szCs w:val="22"/>
          <w:lang w:eastAsia="ja-JP"/>
        </w:rPr>
      </w:pPr>
      <w:r w:rsidRPr="001C32CA">
        <w:rPr>
          <w:rFonts w:eastAsia="MS Mincho"/>
          <w:sz w:val="22"/>
          <w:szCs w:val="22"/>
          <w:lang w:eastAsia="ja-JP"/>
        </w:rPr>
        <w:br/>
        <w:t xml:space="preserve">With FR1 and FR2 CA deployment, configuration the same CDRX configuration for cells in FR1 and FR2 is not efficient enough to address the different usage and design challenges between FR1 and FR2, at least in the following areas </w:t>
      </w:r>
    </w:p>
    <w:p w14:paraId="221FC2EA" w14:textId="77777777" w:rsidR="00752900" w:rsidRPr="001C32CA" w:rsidRDefault="00752900" w:rsidP="00752900">
      <w:pPr>
        <w:rPr>
          <w:rFonts w:eastAsia="MS Mincho"/>
          <w:sz w:val="22"/>
          <w:szCs w:val="22"/>
          <w:lang w:eastAsia="ja-JP"/>
        </w:rPr>
      </w:pPr>
    </w:p>
    <w:p w14:paraId="3785417B" w14:textId="77777777" w:rsidR="00752900" w:rsidRPr="001C32CA" w:rsidRDefault="00752900" w:rsidP="00752900">
      <w:pPr>
        <w:pStyle w:val="ListParagraph"/>
        <w:numPr>
          <w:ilvl w:val="0"/>
          <w:numId w:val="12"/>
        </w:numPr>
        <w:ind w:leftChars="0"/>
        <w:rPr>
          <w:rFonts w:ascii="Times New Roman" w:eastAsia="MS Mincho" w:hAnsi="Times New Roman"/>
          <w:lang w:eastAsia="ja-JP"/>
        </w:rPr>
      </w:pPr>
      <w:r w:rsidRPr="001C32CA">
        <w:rPr>
          <w:rFonts w:ascii="Times New Roman" w:eastAsia="MS Mincho" w:hAnsi="Times New Roman"/>
          <w:lang w:eastAsia="ja-JP"/>
        </w:rPr>
        <w:t>FR2 has different power consumption and thermal problem compared to FR1</w:t>
      </w:r>
    </w:p>
    <w:p w14:paraId="0E2DE78D" w14:textId="77777777" w:rsidR="00752900" w:rsidRPr="001C32CA" w:rsidRDefault="00752900" w:rsidP="00752900">
      <w:pPr>
        <w:pStyle w:val="ListParagraph"/>
        <w:numPr>
          <w:ilvl w:val="0"/>
          <w:numId w:val="12"/>
        </w:numPr>
        <w:ind w:leftChars="0"/>
        <w:rPr>
          <w:rFonts w:ascii="Times New Roman" w:eastAsia="MS Mincho" w:hAnsi="Times New Roman"/>
          <w:lang w:eastAsia="ja-JP"/>
        </w:rPr>
      </w:pPr>
      <w:r w:rsidRPr="001C32CA">
        <w:rPr>
          <w:rFonts w:ascii="Times New Roman" w:eastAsia="MS Mincho" w:hAnsi="Times New Roman"/>
          <w:lang w:eastAsia="ja-JP"/>
        </w:rPr>
        <w:t xml:space="preserve">FR2 cells are mainly to handle large amount of data or to achieve high date rate, it can be less "active" than the FR1 cells to maintain reasonable UE power consumption and thermal dissipation </w:t>
      </w:r>
    </w:p>
    <w:p w14:paraId="1218B3DD" w14:textId="77777777" w:rsidR="00752900" w:rsidRPr="001C32CA" w:rsidRDefault="00752900" w:rsidP="00752900">
      <w:pPr>
        <w:rPr>
          <w:rFonts w:eastAsia="MS Mincho"/>
          <w:sz w:val="22"/>
          <w:szCs w:val="22"/>
          <w:lang w:eastAsia="ja-JP"/>
        </w:rPr>
      </w:pPr>
    </w:p>
    <w:p w14:paraId="58B8DC22" w14:textId="1F899CE8" w:rsidR="00752900" w:rsidRDefault="00752900" w:rsidP="00752900">
      <w:pPr>
        <w:rPr>
          <w:rFonts w:eastAsia="MS Mincho"/>
          <w:sz w:val="22"/>
          <w:szCs w:val="22"/>
          <w:lang w:eastAsia="ja-JP"/>
        </w:rPr>
      </w:pPr>
      <w:r w:rsidRPr="001C32CA">
        <w:rPr>
          <w:rFonts w:eastAsia="MS Mincho"/>
          <w:sz w:val="22"/>
          <w:szCs w:val="22"/>
          <w:lang w:eastAsia="ja-JP"/>
        </w:rPr>
        <w:t xml:space="preserve">As results, RAN2 </w:t>
      </w:r>
      <w:r w:rsidR="00350348">
        <w:rPr>
          <w:rFonts w:eastAsia="MS Mincho"/>
          <w:sz w:val="22"/>
          <w:szCs w:val="22"/>
          <w:lang w:eastAsia="ja-JP"/>
        </w:rPr>
        <w:t xml:space="preserve">introduced </w:t>
      </w:r>
      <w:r w:rsidR="00097137">
        <w:rPr>
          <w:rFonts w:eastAsia="MS Mincho"/>
          <w:sz w:val="22"/>
          <w:szCs w:val="22"/>
          <w:lang w:eastAsia="ja-JP"/>
        </w:rPr>
        <w:t>secondary</w:t>
      </w:r>
      <w:r w:rsidRPr="001C32CA">
        <w:rPr>
          <w:rFonts w:eastAsia="MS Mincho"/>
          <w:sz w:val="22"/>
          <w:szCs w:val="22"/>
          <w:lang w:eastAsia="ja-JP"/>
        </w:rPr>
        <w:t xml:space="preserve"> DRX groups for a cell group mainly targeting to support FR1 and FR2 CA. The main use case of 2 DRX groups for FR1 and FR2 CA </w:t>
      </w:r>
      <w:r w:rsidR="004D4B3C">
        <w:rPr>
          <w:rFonts w:eastAsia="MS Mincho"/>
          <w:sz w:val="22"/>
          <w:szCs w:val="22"/>
          <w:lang w:eastAsia="ja-JP"/>
        </w:rPr>
        <w:t xml:space="preserve">is to configure </w:t>
      </w:r>
      <w:r w:rsidRPr="001C32CA">
        <w:rPr>
          <w:rFonts w:eastAsia="MS Mincho"/>
          <w:sz w:val="22"/>
          <w:szCs w:val="22"/>
          <w:lang w:eastAsia="ja-JP"/>
        </w:rPr>
        <w:t xml:space="preserve">one DRX group for FR1 and the other DRX group for FR2. Each DRX group can have different DRX related </w:t>
      </w:r>
      <w:r w:rsidR="009D39CD">
        <w:rPr>
          <w:rFonts w:eastAsia="MS Mincho"/>
          <w:sz w:val="22"/>
          <w:szCs w:val="22"/>
          <w:lang w:eastAsia="ja-JP"/>
        </w:rPr>
        <w:t xml:space="preserve">configurations </w:t>
      </w:r>
      <w:r w:rsidR="00F40215">
        <w:rPr>
          <w:rFonts w:eastAsia="MS Mincho"/>
          <w:sz w:val="22"/>
          <w:szCs w:val="22"/>
          <w:lang w:eastAsia="ja-JP"/>
        </w:rPr>
        <w:t>including</w:t>
      </w:r>
      <w:r w:rsidRPr="001C32CA">
        <w:rPr>
          <w:rFonts w:eastAsia="MS Mincho"/>
          <w:sz w:val="22"/>
          <w:szCs w:val="22"/>
          <w:lang w:eastAsia="ja-JP"/>
        </w:rPr>
        <w:t xml:space="preserve"> </w:t>
      </w:r>
      <w:r w:rsidRPr="001C32CA">
        <w:rPr>
          <w:rFonts w:eastAsia="MS Mincho"/>
          <w:i/>
          <w:iCs/>
          <w:sz w:val="22"/>
          <w:szCs w:val="22"/>
          <w:lang w:eastAsia="ja-JP"/>
        </w:rPr>
        <w:t>drx-InactivityTimer</w:t>
      </w:r>
      <w:r w:rsidRPr="001C32CA">
        <w:rPr>
          <w:rFonts w:eastAsia="MS Mincho"/>
          <w:sz w:val="22"/>
          <w:szCs w:val="22"/>
          <w:lang w:eastAsia="ja-JP"/>
        </w:rPr>
        <w:t xml:space="preserve"> and </w:t>
      </w:r>
      <w:r w:rsidRPr="001C32CA">
        <w:rPr>
          <w:rFonts w:eastAsia="MS Mincho"/>
          <w:i/>
          <w:iCs/>
          <w:sz w:val="22"/>
          <w:szCs w:val="22"/>
          <w:lang w:eastAsia="ja-JP"/>
        </w:rPr>
        <w:t>drx-onDurationTimer</w:t>
      </w:r>
      <w:r w:rsidRPr="001C32CA">
        <w:rPr>
          <w:rFonts w:eastAsia="MS Mincho"/>
          <w:sz w:val="22"/>
          <w:szCs w:val="22"/>
          <w:lang w:eastAsia="ja-JP"/>
        </w:rPr>
        <w:t>.</w:t>
      </w:r>
    </w:p>
    <w:p w14:paraId="550FFE3E" w14:textId="77777777" w:rsidR="00F40215" w:rsidRDefault="00F40215" w:rsidP="00752900">
      <w:pPr>
        <w:rPr>
          <w:rFonts w:eastAsia="MS Mincho"/>
          <w:sz w:val="22"/>
          <w:szCs w:val="22"/>
          <w:lang w:eastAsia="ja-JP"/>
        </w:rPr>
      </w:pPr>
    </w:p>
    <w:p w14:paraId="61997BE5" w14:textId="4A174B5D" w:rsidR="00F40215" w:rsidRDefault="00F40215" w:rsidP="00752900">
      <w:pPr>
        <w:rPr>
          <w:rFonts w:eastAsia="MS Mincho"/>
          <w:sz w:val="22"/>
          <w:szCs w:val="22"/>
          <w:lang w:eastAsia="ja-JP"/>
        </w:rPr>
      </w:pPr>
      <w:r>
        <w:rPr>
          <w:rFonts w:eastAsia="MS Mincho"/>
          <w:sz w:val="22"/>
          <w:szCs w:val="22"/>
          <w:lang w:eastAsia="ja-JP"/>
        </w:rPr>
        <w:t xml:space="preserve">Unfortunately, </w:t>
      </w:r>
      <w:r w:rsidR="00FC5FA6">
        <w:rPr>
          <w:rFonts w:eastAsia="MS Mincho"/>
          <w:sz w:val="22"/>
          <w:szCs w:val="22"/>
          <w:lang w:eastAsia="ja-JP"/>
        </w:rPr>
        <w:t xml:space="preserve">in Rel-16, </w:t>
      </w:r>
      <w:r>
        <w:rPr>
          <w:rFonts w:eastAsia="MS Mincho"/>
          <w:sz w:val="22"/>
          <w:szCs w:val="22"/>
          <w:lang w:eastAsia="ja-JP"/>
        </w:rPr>
        <w:t xml:space="preserve">due to the time </w:t>
      </w:r>
      <w:r w:rsidR="00FC5FA6">
        <w:rPr>
          <w:rFonts w:eastAsia="MS Mincho"/>
          <w:sz w:val="22"/>
          <w:szCs w:val="22"/>
          <w:lang w:eastAsia="ja-JP"/>
        </w:rPr>
        <w:t xml:space="preserve">constraints </w:t>
      </w:r>
      <w:r>
        <w:rPr>
          <w:rFonts w:eastAsia="MS Mincho"/>
          <w:sz w:val="22"/>
          <w:szCs w:val="22"/>
          <w:lang w:eastAsia="ja-JP"/>
        </w:rPr>
        <w:t xml:space="preserve">and resistance in RAN1, secondary DRX group cannot be configured together with SCell dormancy which </w:t>
      </w:r>
      <w:r w:rsidR="00A953F5">
        <w:rPr>
          <w:rFonts w:eastAsia="MS Mincho"/>
          <w:sz w:val="22"/>
          <w:szCs w:val="22"/>
          <w:lang w:eastAsia="ja-JP"/>
        </w:rPr>
        <w:t>without any meaningful</w:t>
      </w:r>
      <w:r>
        <w:rPr>
          <w:rFonts w:eastAsia="MS Mincho"/>
          <w:sz w:val="22"/>
          <w:szCs w:val="22"/>
          <w:lang w:eastAsia="ja-JP"/>
        </w:rPr>
        <w:t xml:space="preserve"> technical </w:t>
      </w:r>
      <w:r>
        <w:rPr>
          <w:rFonts w:eastAsia="MS Mincho"/>
          <w:sz w:val="22"/>
          <w:szCs w:val="22"/>
          <w:lang w:eastAsia="ja-JP"/>
        </w:rPr>
        <w:lastRenderedPageBreak/>
        <w:t>justification and reasoning. Therefore, we believe we should allow SCell dormancy to work together with secondary DRX group in Rel-17.</w:t>
      </w:r>
    </w:p>
    <w:p w14:paraId="3EAEDBD2" w14:textId="77777777" w:rsidR="00251375" w:rsidRDefault="00251375" w:rsidP="007955A9">
      <w:pPr>
        <w:pStyle w:val="0Maintext"/>
        <w:spacing w:after="0" w:afterAutospacing="0" w:line="240" w:lineRule="auto"/>
        <w:ind w:firstLine="0"/>
      </w:pPr>
    </w:p>
    <w:p w14:paraId="493008FB" w14:textId="183DA42B" w:rsidR="00CD57A3" w:rsidRDefault="00F40215" w:rsidP="00251375">
      <w:pPr>
        <w:pStyle w:val="0Maintext"/>
        <w:spacing w:after="0" w:afterAutospacing="0" w:line="240" w:lineRule="auto"/>
        <w:ind w:firstLine="0"/>
        <w:rPr>
          <w:b/>
          <w:bCs/>
          <w:i/>
          <w:iCs/>
          <w:lang w:val="en-US" w:eastAsia="zh-CN"/>
        </w:rPr>
      </w:pPr>
      <w:r>
        <w:rPr>
          <w:b/>
          <w:bCs/>
          <w:i/>
          <w:iCs/>
          <w:lang w:val="en-US" w:eastAsia="zh-CN"/>
        </w:rPr>
        <w:t>Proposal</w:t>
      </w:r>
      <w:r w:rsidR="00251375" w:rsidRPr="00827F64">
        <w:rPr>
          <w:b/>
          <w:bCs/>
          <w:i/>
          <w:iCs/>
          <w:lang w:val="en-US" w:eastAsia="zh-CN"/>
        </w:rPr>
        <w:t xml:space="preserve"> 1: </w:t>
      </w:r>
      <w:r>
        <w:rPr>
          <w:b/>
          <w:bCs/>
          <w:i/>
          <w:iCs/>
          <w:lang w:val="en-US" w:eastAsia="zh-CN"/>
        </w:rPr>
        <w:t xml:space="preserve">In Rel-17, RAN1 should strive to </w:t>
      </w:r>
      <w:r w:rsidR="000851E1">
        <w:rPr>
          <w:b/>
          <w:bCs/>
          <w:i/>
          <w:iCs/>
          <w:lang w:val="en-US" w:eastAsia="zh-CN"/>
        </w:rPr>
        <w:t>identify and resolve any issue related to simultaneous operation of SCell dormancy and secondary DRX group.</w:t>
      </w:r>
    </w:p>
    <w:p w14:paraId="52D5629E" w14:textId="04790CBA" w:rsidR="00CD57A3" w:rsidRDefault="003C3A7A" w:rsidP="00676FEE">
      <w:pPr>
        <w:pStyle w:val="Heading1"/>
      </w:pPr>
      <w:r>
        <w:t>SCG dormancy</w:t>
      </w:r>
    </w:p>
    <w:p w14:paraId="52B3E1E9" w14:textId="37FED2A0" w:rsidR="00FA2CC1" w:rsidRDefault="00FA2CC1" w:rsidP="00676FEE">
      <w:pPr>
        <w:pStyle w:val="0Maintext"/>
        <w:spacing w:after="0" w:afterAutospacing="0" w:line="240" w:lineRule="auto"/>
        <w:ind w:firstLine="0"/>
        <w:rPr>
          <w:lang w:val="en-US"/>
        </w:rPr>
      </w:pPr>
      <w:r>
        <w:rPr>
          <w:lang w:val="en-US"/>
        </w:rPr>
        <w:t>Another deployment scenario of FR2 is to use NR DC, in which FR1 is deployed in MCG and FR2 is deployed in SCG. As we discussed previously, FR2 is mainly for data enhancement layer when device requires high data rate. However, for majority of the use case</w:t>
      </w:r>
      <w:r w:rsidR="00B85F85">
        <w:rPr>
          <w:lang w:val="en-US"/>
        </w:rPr>
        <w:t>s</w:t>
      </w:r>
      <w:r>
        <w:rPr>
          <w:lang w:val="en-US"/>
        </w:rPr>
        <w:t>, UE may not need FR2 operation. As results, it is very inefficient to keep the SCG especially for power consumption consideration.</w:t>
      </w:r>
    </w:p>
    <w:p w14:paraId="2DC4E567" w14:textId="77777777" w:rsidR="00FA2CC1" w:rsidRDefault="00FA2CC1" w:rsidP="00676FEE">
      <w:pPr>
        <w:pStyle w:val="0Maintext"/>
        <w:spacing w:after="0" w:afterAutospacing="0" w:line="240" w:lineRule="auto"/>
        <w:ind w:firstLine="0"/>
        <w:rPr>
          <w:lang w:val="en-US"/>
        </w:rPr>
      </w:pPr>
    </w:p>
    <w:p w14:paraId="77A63F43" w14:textId="205C05CA" w:rsidR="00FA2CC1" w:rsidRDefault="00925F70" w:rsidP="00676FEE">
      <w:pPr>
        <w:pStyle w:val="0Maintext"/>
        <w:spacing w:after="0" w:afterAutospacing="0" w:line="240" w:lineRule="auto"/>
        <w:ind w:firstLine="0"/>
        <w:rPr>
          <w:lang w:val="en-US"/>
        </w:rPr>
      </w:pPr>
      <w:r>
        <w:rPr>
          <w:lang w:val="en-US"/>
        </w:rPr>
        <w:t>Based on the above discussion</w:t>
      </w:r>
      <w:r w:rsidR="00FA2CC1">
        <w:rPr>
          <w:lang w:val="en-US"/>
        </w:rPr>
        <w:t xml:space="preserve">, it is beneficial to consider SCG dormancy mechanism in RAN1 with the following proposal </w:t>
      </w:r>
    </w:p>
    <w:p w14:paraId="5A9F9C80" w14:textId="77777777" w:rsidR="00676FEE" w:rsidRPr="00676FEE" w:rsidRDefault="00676FEE" w:rsidP="00676FEE">
      <w:pPr>
        <w:rPr>
          <w:lang w:val="en-GB"/>
        </w:rPr>
      </w:pPr>
    </w:p>
    <w:p w14:paraId="4E90670E" w14:textId="0849BB88" w:rsidR="00FA2CC1"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sidR="00FA2CC1">
        <w:rPr>
          <w:b/>
          <w:bCs/>
          <w:i/>
          <w:iCs/>
          <w:lang w:val="en-US" w:eastAsia="zh-CN"/>
        </w:rPr>
        <w:t>2</w:t>
      </w:r>
      <w:r w:rsidRPr="00827F64">
        <w:rPr>
          <w:b/>
          <w:bCs/>
          <w:i/>
          <w:iCs/>
          <w:lang w:val="en-US" w:eastAsia="zh-CN"/>
        </w:rPr>
        <w:t xml:space="preserve">: </w:t>
      </w:r>
      <w:r w:rsidR="00FA2CC1">
        <w:rPr>
          <w:b/>
          <w:bCs/>
          <w:i/>
          <w:iCs/>
          <w:lang w:val="en-US" w:eastAsia="zh-CN"/>
        </w:rPr>
        <w:t xml:space="preserve">In Rel-17, RAN1 can consider </w:t>
      </w:r>
      <w:r w:rsidR="00202AE9">
        <w:rPr>
          <w:b/>
          <w:bCs/>
          <w:i/>
          <w:iCs/>
          <w:lang w:val="en-US" w:eastAsia="zh-CN"/>
        </w:rPr>
        <w:t>extending</w:t>
      </w:r>
      <w:r w:rsidR="00FA2CC1">
        <w:rPr>
          <w:b/>
          <w:bCs/>
          <w:i/>
          <w:iCs/>
          <w:lang w:val="en-US" w:eastAsia="zh-CN"/>
        </w:rPr>
        <w:t xml:space="preserve"> the SCell dormancy mechanism to more efficiently support the SCG dormancy </w:t>
      </w:r>
    </w:p>
    <w:p w14:paraId="022777CA" w14:textId="3130A35F" w:rsidR="00041988" w:rsidRDefault="00C84FE2" w:rsidP="003105DC">
      <w:pPr>
        <w:pStyle w:val="Heading1"/>
      </w:pPr>
      <w:r>
        <w:t>Conclusion</w:t>
      </w:r>
    </w:p>
    <w:p w14:paraId="74A1AE27" w14:textId="6469F537" w:rsidR="00676FEE" w:rsidRDefault="00B60333" w:rsidP="00F91AE6">
      <w:pPr>
        <w:pStyle w:val="0Maintext"/>
        <w:spacing w:after="120" w:afterAutospacing="0" w:line="240" w:lineRule="auto"/>
        <w:ind w:firstLine="0"/>
        <w:rPr>
          <w:lang w:val="en-US"/>
        </w:rPr>
      </w:pPr>
      <w:r>
        <w:rPr>
          <w:lang w:val="en-US"/>
        </w:rPr>
        <w:t xml:space="preserve">In Rel-16, WUS (Wake Up Signal), i.e., DCI Format 2_6, was designed to also support SCell dormancy, so that a UE can be requested to operate in dormancy mode in a subset of pre-configured SCell groups, for power saving purpose. Further enhancement was approved as RAN2 led WI, </w:t>
      </w:r>
      <w:r w:rsidRPr="00EC5AF6">
        <w:t>LTE_NR_DC_enh2</w:t>
      </w:r>
      <w:r>
        <w:t xml:space="preserve"> for Rel-17. </w:t>
      </w:r>
      <w:r>
        <w:rPr>
          <w:lang w:val="en-US"/>
        </w:rPr>
        <w:t xml:space="preserve">In this contribution, we provide our views on the objective of </w:t>
      </w:r>
      <w:r w:rsidRPr="006817CB">
        <w:rPr>
          <w:lang w:val="en-US"/>
        </w:rPr>
        <w:t>efficient activation/de-activa</w:t>
      </w:r>
      <w:r>
        <w:rPr>
          <w:lang w:val="en-US"/>
        </w:rPr>
        <w:t xml:space="preserve">tion mechanism for SCells in NR. </w:t>
      </w:r>
      <w:r w:rsidR="00676FEE">
        <w:rPr>
          <w:lang w:val="en-US"/>
        </w:rPr>
        <w:t>We have the following proposals</w:t>
      </w:r>
    </w:p>
    <w:p w14:paraId="074DA441" w14:textId="77777777" w:rsidR="007E474E" w:rsidRDefault="007E474E" w:rsidP="007E474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In Rel-17, RAN1 should strive to identify and resolve any issue related to simultaneous operation of SCell dormancy and secondary DRX group.</w:t>
      </w:r>
    </w:p>
    <w:p w14:paraId="6E70723A" w14:textId="77777777" w:rsidR="002D13B0" w:rsidRDefault="002D13B0" w:rsidP="002D13B0">
      <w:pPr>
        <w:pStyle w:val="0Maintext"/>
        <w:spacing w:after="0" w:afterAutospacing="0" w:line="240" w:lineRule="auto"/>
        <w:ind w:firstLine="0"/>
        <w:rPr>
          <w:b/>
          <w:bCs/>
          <w:i/>
          <w:iCs/>
          <w:lang w:val="en-US" w:eastAsia="zh-CN"/>
        </w:rPr>
      </w:pPr>
    </w:p>
    <w:p w14:paraId="3051FD2D" w14:textId="23FCA7BC" w:rsidR="007E474E" w:rsidRDefault="007E474E" w:rsidP="007E474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Pr>
          <w:b/>
          <w:bCs/>
          <w:i/>
          <w:iCs/>
          <w:lang w:val="en-US" w:eastAsia="zh-CN"/>
        </w:rPr>
        <w:t xml:space="preserve">In Rel-17, RAN1 can consider </w:t>
      </w:r>
      <w:r w:rsidR="00202AE9">
        <w:rPr>
          <w:b/>
          <w:bCs/>
          <w:i/>
          <w:iCs/>
          <w:lang w:val="en-US" w:eastAsia="zh-CN"/>
        </w:rPr>
        <w:t xml:space="preserve">extending </w:t>
      </w:r>
      <w:r>
        <w:rPr>
          <w:b/>
          <w:bCs/>
          <w:i/>
          <w:iCs/>
          <w:lang w:val="en-US" w:eastAsia="zh-CN"/>
        </w:rPr>
        <w:t xml:space="preserve">the SCell dormancy mechanism to more efficiently support the SCG dormancy </w:t>
      </w:r>
    </w:p>
    <w:p w14:paraId="2A5BA4DC" w14:textId="6DB80A0A" w:rsidR="002134C9" w:rsidRDefault="002134C9" w:rsidP="002134C9">
      <w:pPr>
        <w:pStyle w:val="Heading1"/>
      </w:pPr>
      <w:r>
        <w:t>Reference</w:t>
      </w:r>
    </w:p>
    <w:p w14:paraId="476C1EC2" w14:textId="51408FAC" w:rsidR="00482F0E" w:rsidRPr="00482F0E" w:rsidRDefault="00482F0E" w:rsidP="00C73BBE">
      <w:pPr>
        <w:numPr>
          <w:ilvl w:val="0"/>
          <w:numId w:val="2"/>
        </w:numPr>
        <w:tabs>
          <w:tab w:val="clear" w:pos="657"/>
        </w:tabs>
        <w:overflowPunct w:val="0"/>
        <w:autoSpaceDE w:val="0"/>
        <w:autoSpaceDN w:val="0"/>
        <w:adjustRightInd w:val="0"/>
        <w:spacing w:before="100" w:beforeAutospacing="1" w:after="100" w:afterAutospacing="1"/>
        <w:textAlignment w:val="baseline"/>
      </w:pPr>
      <w:r w:rsidRPr="00482F0E">
        <w:rPr>
          <w:sz w:val="20"/>
          <w:szCs w:val="20"/>
        </w:rPr>
        <w:t>RP-201040, "Revised WID on Further Multi-RAT Dual-Connectivity enhancements", 3GPP TSG RAN Meeting #88e Meeting, June 29 - July 3, 2020</w:t>
      </w:r>
    </w:p>
    <w:p w14:paraId="48D3502F" w14:textId="6A4892BF" w:rsidR="002134C9" w:rsidRPr="00DC4C61" w:rsidRDefault="002134C9" w:rsidP="002B29F7">
      <w:pPr>
        <w:overflowPunct w:val="0"/>
        <w:autoSpaceDE w:val="0"/>
        <w:autoSpaceDN w:val="0"/>
        <w:adjustRightInd w:val="0"/>
        <w:spacing w:before="100" w:beforeAutospacing="1" w:after="100" w:afterAutospacing="1"/>
        <w:ind w:left="657"/>
        <w:textAlignment w:val="baseline"/>
      </w:pP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948F2"/>
    <w:multiLevelType w:val="hybridMultilevel"/>
    <w:tmpl w:val="CC3E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4"/>
  </w:num>
  <w:num w:numId="6">
    <w:abstractNumId w:val="11"/>
  </w:num>
  <w:num w:numId="7">
    <w:abstractNumId w:val="10"/>
  </w:num>
  <w:num w:numId="8">
    <w:abstractNumId w:val="7"/>
  </w:num>
  <w:num w:numId="9">
    <w:abstractNumId w:val="5"/>
  </w:num>
  <w:num w:numId="10">
    <w:abstractNumId w:val="8"/>
  </w:num>
  <w:num w:numId="11">
    <w:abstractNumId w:val="3"/>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C13"/>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851E1"/>
    <w:rsid w:val="00085808"/>
    <w:rsid w:val="000926BF"/>
    <w:rsid w:val="00092A85"/>
    <w:rsid w:val="00097137"/>
    <w:rsid w:val="000A0881"/>
    <w:rsid w:val="000A1890"/>
    <w:rsid w:val="000B1408"/>
    <w:rsid w:val="000C0DCC"/>
    <w:rsid w:val="000C3D00"/>
    <w:rsid w:val="000C42F2"/>
    <w:rsid w:val="000C7A30"/>
    <w:rsid w:val="000D1137"/>
    <w:rsid w:val="000D1A8F"/>
    <w:rsid w:val="000D5020"/>
    <w:rsid w:val="000E2B01"/>
    <w:rsid w:val="000E6DE7"/>
    <w:rsid w:val="000F06FE"/>
    <w:rsid w:val="000F2C70"/>
    <w:rsid w:val="000F50D5"/>
    <w:rsid w:val="00113855"/>
    <w:rsid w:val="001144DC"/>
    <w:rsid w:val="0011495B"/>
    <w:rsid w:val="00116822"/>
    <w:rsid w:val="00127219"/>
    <w:rsid w:val="00131BBD"/>
    <w:rsid w:val="00140849"/>
    <w:rsid w:val="001454B7"/>
    <w:rsid w:val="00147208"/>
    <w:rsid w:val="00153773"/>
    <w:rsid w:val="00162406"/>
    <w:rsid w:val="00165EE3"/>
    <w:rsid w:val="00167B8F"/>
    <w:rsid w:val="001775A7"/>
    <w:rsid w:val="001779C8"/>
    <w:rsid w:val="0018293E"/>
    <w:rsid w:val="0018607A"/>
    <w:rsid w:val="00194352"/>
    <w:rsid w:val="00194BBD"/>
    <w:rsid w:val="001963D3"/>
    <w:rsid w:val="001B26ED"/>
    <w:rsid w:val="001B2AEE"/>
    <w:rsid w:val="001B7C08"/>
    <w:rsid w:val="001C159F"/>
    <w:rsid w:val="001C276B"/>
    <w:rsid w:val="001C59CA"/>
    <w:rsid w:val="001C5FBE"/>
    <w:rsid w:val="001D09D4"/>
    <w:rsid w:val="001D5CE5"/>
    <w:rsid w:val="001D749D"/>
    <w:rsid w:val="001D754C"/>
    <w:rsid w:val="001E07D4"/>
    <w:rsid w:val="001F1032"/>
    <w:rsid w:val="001F14E7"/>
    <w:rsid w:val="00202AE9"/>
    <w:rsid w:val="00205B31"/>
    <w:rsid w:val="0021154C"/>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371"/>
    <w:rsid w:val="00276827"/>
    <w:rsid w:val="002805F2"/>
    <w:rsid w:val="00284AB0"/>
    <w:rsid w:val="00285B13"/>
    <w:rsid w:val="00291935"/>
    <w:rsid w:val="002948FF"/>
    <w:rsid w:val="002972B7"/>
    <w:rsid w:val="002A04A9"/>
    <w:rsid w:val="002A09FA"/>
    <w:rsid w:val="002A274D"/>
    <w:rsid w:val="002A29BB"/>
    <w:rsid w:val="002A5B21"/>
    <w:rsid w:val="002B162B"/>
    <w:rsid w:val="002B29F7"/>
    <w:rsid w:val="002B3367"/>
    <w:rsid w:val="002B4736"/>
    <w:rsid w:val="002B72F3"/>
    <w:rsid w:val="002C4EFD"/>
    <w:rsid w:val="002C57AC"/>
    <w:rsid w:val="002D13B0"/>
    <w:rsid w:val="002D2B50"/>
    <w:rsid w:val="002D627F"/>
    <w:rsid w:val="002E770C"/>
    <w:rsid w:val="002E7927"/>
    <w:rsid w:val="00305534"/>
    <w:rsid w:val="003059AD"/>
    <w:rsid w:val="00307BFB"/>
    <w:rsid w:val="003105DC"/>
    <w:rsid w:val="003121D9"/>
    <w:rsid w:val="0032399B"/>
    <w:rsid w:val="00333D70"/>
    <w:rsid w:val="0034266A"/>
    <w:rsid w:val="0034417B"/>
    <w:rsid w:val="00350348"/>
    <w:rsid w:val="00351A93"/>
    <w:rsid w:val="0035494F"/>
    <w:rsid w:val="00356A2B"/>
    <w:rsid w:val="00366F52"/>
    <w:rsid w:val="00373D5E"/>
    <w:rsid w:val="0037598C"/>
    <w:rsid w:val="003862B0"/>
    <w:rsid w:val="00396074"/>
    <w:rsid w:val="00396951"/>
    <w:rsid w:val="003A35A7"/>
    <w:rsid w:val="003B54E1"/>
    <w:rsid w:val="003C0E4F"/>
    <w:rsid w:val="003C3A7A"/>
    <w:rsid w:val="003C55E8"/>
    <w:rsid w:val="003E4A0C"/>
    <w:rsid w:val="003E51B8"/>
    <w:rsid w:val="003E58D3"/>
    <w:rsid w:val="003E5F6E"/>
    <w:rsid w:val="003E75B6"/>
    <w:rsid w:val="003F3627"/>
    <w:rsid w:val="003F670D"/>
    <w:rsid w:val="004056C5"/>
    <w:rsid w:val="00406FB8"/>
    <w:rsid w:val="00407B8C"/>
    <w:rsid w:val="00410A67"/>
    <w:rsid w:val="00417FC9"/>
    <w:rsid w:val="00422E62"/>
    <w:rsid w:val="004256E0"/>
    <w:rsid w:val="00427E46"/>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82F0E"/>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B3C"/>
    <w:rsid w:val="004D4DFC"/>
    <w:rsid w:val="004D6F79"/>
    <w:rsid w:val="004D7FE6"/>
    <w:rsid w:val="004E3EAD"/>
    <w:rsid w:val="004E5C57"/>
    <w:rsid w:val="004F4991"/>
    <w:rsid w:val="004F74D5"/>
    <w:rsid w:val="004F7F00"/>
    <w:rsid w:val="005005A8"/>
    <w:rsid w:val="005058B2"/>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9045E"/>
    <w:rsid w:val="00597FEB"/>
    <w:rsid w:val="005B1AD1"/>
    <w:rsid w:val="005B4D3C"/>
    <w:rsid w:val="005B6997"/>
    <w:rsid w:val="005B6A41"/>
    <w:rsid w:val="005B6D01"/>
    <w:rsid w:val="005C43CD"/>
    <w:rsid w:val="005C5E00"/>
    <w:rsid w:val="005C68B4"/>
    <w:rsid w:val="005D45F7"/>
    <w:rsid w:val="005D57A7"/>
    <w:rsid w:val="005E371D"/>
    <w:rsid w:val="005E60AD"/>
    <w:rsid w:val="005F47E5"/>
    <w:rsid w:val="005F5A01"/>
    <w:rsid w:val="005F6A59"/>
    <w:rsid w:val="005F7A0E"/>
    <w:rsid w:val="00603228"/>
    <w:rsid w:val="00605B70"/>
    <w:rsid w:val="0061765C"/>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6EFB"/>
    <w:rsid w:val="00672A8E"/>
    <w:rsid w:val="00674B8D"/>
    <w:rsid w:val="00676FEE"/>
    <w:rsid w:val="006817CB"/>
    <w:rsid w:val="00683306"/>
    <w:rsid w:val="0068675B"/>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6CDE"/>
    <w:rsid w:val="00732388"/>
    <w:rsid w:val="00732BB3"/>
    <w:rsid w:val="00735169"/>
    <w:rsid w:val="0073575D"/>
    <w:rsid w:val="007371CF"/>
    <w:rsid w:val="00741536"/>
    <w:rsid w:val="0074241B"/>
    <w:rsid w:val="00745905"/>
    <w:rsid w:val="007509B0"/>
    <w:rsid w:val="00750A0B"/>
    <w:rsid w:val="00752900"/>
    <w:rsid w:val="007544F6"/>
    <w:rsid w:val="00761FCD"/>
    <w:rsid w:val="0076558A"/>
    <w:rsid w:val="007663B2"/>
    <w:rsid w:val="00766F27"/>
    <w:rsid w:val="00770CD2"/>
    <w:rsid w:val="00777915"/>
    <w:rsid w:val="0078114E"/>
    <w:rsid w:val="00783012"/>
    <w:rsid w:val="007879E8"/>
    <w:rsid w:val="007946FF"/>
    <w:rsid w:val="007955A9"/>
    <w:rsid w:val="00797A21"/>
    <w:rsid w:val="007A0693"/>
    <w:rsid w:val="007A1B25"/>
    <w:rsid w:val="007A5769"/>
    <w:rsid w:val="007B4E2B"/>
    <w:rsid w:val="007B53E0"/>
    <w:rsid w:val="007C125B"/>
    <w:rsid w:val="007C1A91"/>
    <w:rsid w:val="007C4AF6"/>
    <w:rsid w:val="007C54E6"/>
    <w:rsid w:val="007C6085"/>
    <w:rsid w:val="007D61E0"/>
    <w:rsid w:val="007D6DBA"/>
    <w:rsid w:val="007E4256"/>
    <w:rsid w:val="007E474E"/>
    <w:rsid w:val="007E4EE1"/>
    <w:rsid w:val="007E554B"/>
    <w:rsid w:val="007E6FF6"/>
    <w:rsid w:val="007F128C"/>
    <w:rsid w:val="007F4D2C"/>
    <w:rsid w:val="008013DA"/>
    <w:rsid w:val="00803CDF"/>
    <w:rsid w:val="0081337F"/>
    <w:rsid w:val="008144EA"/>
    <w:rsid w:val="00815DD3"/>
    <w:rsid w:val="00816C07"/>
    <w:rsid w:val="00820B12"/>
    <w:rsid w:val="008273C9"/>
    <w:rsid w:val="00827696"/>
    <w:rsid w:val="00827852"/>
    <w:rsid w:val="00827F64"/>
    <w:rsid w:val="00830D5E"/>
    <w:rsid w:val="008350CB"/>
    <w:rsid w:val="008355FB"/>
    <w:rsid w:val="00843079"/>
    <w:rsid w:val="00845847"/>
    <w:rsid w:val="00846DF0"/>
    <w:rsid w:val="0085130D"/>
    <w:rsid w:val="00862720"/>
    <w:rsid w:val="00872A01"/>
    <w:rsid w:val="00873A93"/>
    <w:rsid w:val="00873C38"/>
    <w:rsid w:val="00874BFF"/>
    <w:rsid w:val="00874CF4"/>
    <w:rsid w:val="00876949"/>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8F64A5"/>
    <w:rsid w:val="00900D4E"/>
    <w:rsid w:val="00901BC1"/>
    <w:rsid w:val="00902B68"/>
    <w:rsid w:val="00905E3A"/>
    <w:rsid w:val="00911E05"/>
    <w:rsid w:val="00911EFA"/>
    <w:rsid w:val="0091606F"/>
    <w:rsid w:val="009169C4"/>
    <w:rsid w:val="00916E49"/>
    <w:rsid w:val="00921DCB"/>
    <w:rsid w:val="009238F2"/>
    <w:rsid w:val="00923A3D"/>
    <w:rsid w:val="00924122"/>
    <w:rsid w:val="00925F70"/>
    <w:rsid w:val="00930DF1"/>
    <w:rsid w:val="00933DD5"/>
    <w:rsid w:val="009561E2"/>
    <w:rsid w:val="00962433"/>
    <w:rsid w:val="00965AE7"/>
    <w:rsid w:val="00974BFE"/>
    <w:rsid w:val="00977119"/>
    <w:rsid w:val="00982FC1"/>
    <w:rsid w:val="0098317F"/>
    <w:rsid w:val="00983F09"/>
    <w:rsid w:val="009A0340"/>
    <w:rsid w:val="009A55AA"/>
    <w:rsid w:val="009A702F"/>
    <w:rsid w:val="009B15B5"/>
    <w:rsid w:val="009B7D31"/>
    <w:rsid w:val="009C255E"/>
    <w:rsid w:val="009D1C4F"/>
    <w:rsid w:val="009D39CD"/>
    <w:rsid w:val="009E0E57"/>
    <w:rsid w:val="009F0065"/>
    <w:rsid w:val="009F215C"/>
    <w:rsid w:val="009F58CE"/>
    <w:rsid w:val="009F7D20"/>
    <w:rsid w:val="00A02F3B"/>
    <w:rsid w:val="00A04F7C"/>
    <w:rsid w:val="00A1036A"/>
    <w:rsid w:val="00A15425"/>
    <w:rsid w:val="00A159B3"/>
    <w:rsid w:val="00A16BB1"/>
    <w:rsid w:val="00A17E2E"/>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5AAF"/>
    <w:rsid w:val="00A93DEE"/>
    <w:rsid w:val="00A94FB4"/>
    <w:rsid w:val="00A953F5"/>
    <w:rsid w:val="00A95A78"/>
    <w:rsid w:val="00AA073E"/>
    <w:rsid w:val="00AA1820"/>
    <w:rsid w:val="00AA3CF2"/>
    <w:rsid w:val="00AA7986"/>
    <w:rsid w:val="00AB23BE"/>
    <w:rsid w:val="00AB26E1"/>
    <w:rsid w:val="00AB6C52"/>
    <w:rsid w:val="00AC01B9"/>
    <w:rsid w:val="00AC6E8F"/>
    <w:rsid w:val="00AD1997"/>
    <w:rsid w:val="00AE2F3C"/>
    <w:rsid w:val="00AE5788"/>
    <w:rsid w:val="00AE5E11"/>
    <w:rsid w:val="00AE5F60"/>
    <w:rsid w:val="00AE79CA"/>
    <w:rsid w:val="00AF13FC"/>
    <w:rsid w:val="00AF355F"/>
    <w:rsid w:val="00AF6206"/>
    <w:rsid w:val="00B0669A"/>
    <w:rsid w:val="00B07AF0"/>
    <w:rsid w:val="00B125BE"/>
    <w:rsid w:val="00B135BC"/>
    <w:rsid w:val="00B23EB7"/>
    <w:rsid w:val="00B27306"/>
    <w:rsid w:val="00B40062"/>
    <w:rsid w:val="00B40718"/>
    <w:rsid w:val="00B438E6"/>
    <w:rsid w:val="00B450F2"/>
    <w:rsid w:val="00B462EB"/>
    <w:rsid w:val="00B60333"/>
    <w:rsid w:val="00B72388"/>
    <w:rsid w:val="00B73194"/>
    <w:rsid w:val="00B74B22"/>
    <w:rsid w:val="00B768CF"/>
    <w:rsid w:val="00B76D53"/>
    <w:rsid w:val="00B77634"/>
    <w:rsid w:val="00B8148E"/>
    <w:rsid w:val="00B834FB"/>
    <w:rsid w:val="00B8505C"/>
    <w:rsid w:val="00B85F85"/>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7C4"/>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2192"/>
    <w:rsid w:val="00CD0792"/>
    <w:rsid w:val="00CD12E3"/>
    <w:rsid w:val="00CD3E0B"/>
    <w:rsid w:val="00CD57A3"/>
    <w:rsid w:val="00CD5BE0"/>
    <w:rsid w:val="00CE5BBA"/>
    <w:rsid w:val="00CE6DE0"/>
    <w:rsid w:val="00CE79AF"/>
    <w:rsid w:val="00CF2CB8"/>
    <w:rsid w:val="00CF3866"/>
    <w:rsid w:val="00CF3FD3"/>
    <w:rsid w:val="00CF7D97"/>
    <w:rsid w:val="00D0434D"/>
    <w:rsid w:val="00D17FFE"/>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3D28"/>
    <w:rsid w:val="00D87971"/>
    <w:rsid w:val="00D87F2B"/>
    <w:rsid w:val="00D94316"/>
    <w:rsid w:val="00D97A9D"/>
    <w:rsid w:val="00DA4475"/>
    <w:rsid w:val="00DB08F6"/>
    <w:rsid w:val="00DB49E4"/>
    <w:rsid w:val="00DC0AEB"/>
    <w:rsid w:val="00DC24CB"/>
    <w:rsid w:val="00DC4C61"/>
    <w:rsid w:val="00DC6B19"/>
    <w:rsid w:val="00DD14DC"/>
    <w:rsid w:val="00DD47E0"/>
    <w:rsid w:val="00DE0648"/>
    <w:rsid w:val="00DE3E8D"/>
    <w:rsid w:val="00DF26C5"/>
    <w:rsid w:val="00DF59FF"/>
    <w:rsid w:val="00E064FC"/>
    <w:rsid w:val="00E11B95"/>
    <w:rsid w:val="00E11F7A"/>
    <w:rsid w:val="00E22C3F"/>
    <w:rsid w:val="00E24D94"/>
    <w:rsid w:val="00E34980"/>
    <w:rsid w:val="00E369F8"/>
    <w:rsid w:val="00E36B82"/>
    <w:rsid w:val="00E414C7"/>
    <w:rsid w:val="00E4409C"/>
    <w:rsid w:val="00E54932"/>
    <w:rsid w:val="00E55EB5"/>
    <w:rsid w:val="00E560A4"/>
    <w:rsid w:val="00E5676B"/>
    <w:rsid w:val="00E56A0E"/>
    <w:rsid w:val="00E576CD"/>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17333"/>
    <w:rsid w:val="00F17D02"/>
    <w:rsid w:val="00F20704"/>
    <w:rsid w:val="00F2435A"/>
    <w:rsid w:val="00F339B9"/>
    <w:rsid w:val="00F352A5"/>
    <w:rsid w:val="00F36D7D"/>
    <w:rsid w:val="00F37734"/>
    <w:rsid w:val="00F40215"/>
    <w:rsid w:val="00F43CD1"/>
    <w:rsid w:val="00F50376"/>
    <w:rsid w:val="00F53F66"/>
    <w:rsid w:val="00F66066"/>
    <w:rsid w:val="00F763E7"/>
    <w:rsid w:val="00F8208E"/>
    <w:rsid w:val="00F87CB0"/>
    <w:rsid w:val="00F91AE6"/>
    <w:rsid w:val="00F92569"/>
    <w:rsid w:val="00FA0CB2"/>
    <w:rsid w:val="00FA2CC1"/>
    <w:rsid w:val="00FA3FD9"/>
    <w:rsid w:val="00FA48C3"/>
    <w:rsid w:val="00FA4934"/>
    <w:rsid w:val="00FC3E55"/>
    <w:rsid w:val="00FC5FA6"/>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477</cp:revision>
  <dcterms:created xsi:type="dcterms:W3CDTF">2020-02-04T02:31:00Z</dcterms:created>
  <dcterms:modified xsi:type="dcterms:W3CDTF">2020-08-07T16:37:00Z</dcterms:modified>
</cp:coreProperties>
</file>